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67CFD" w:rsidRDefault="00F92268" w:rsidP="0009169D">
      <w:pPr>
        <w:pStyle w:val="BodyText"/>
        <w:spacing w:after="0"/>
        <w:rPr>
          <w:sz w:val="6"/>
          <w:szCs w:val="6"/>
        </w:rPr>
      </w:pPr>
      <w:r w:rsidRPr="00167CF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67CF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67CFD" w:rsidRDefault="00F92268" w:rsidP="00F246C7">
            <w:pPr>
              <w:pStyle w:val="RefTableData"/>
            </w:pPr>
            <w:r w:rsidRPr="00167CFD">
              <w:t>Reference number(s)</w:t>
            </w:r>
          </w:p>
        </w:tc>
      </w:tr>
      <w:tr w:rsidR="00F92268" w:rsidRPr="00167CF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7AB083C" w:rsidR="00F92268" w:rsidRPr="00167CFD" w:rsidRDefault="00691DBB" w:rsidP="00F246C7">
            <w:pPr>
              <w:pStyle w:val="RefTableHeader"/>
            </w:pPr>
            <w:r w:rsidRPr="00167CFD">
              <w:t>1826-A</w:t>
            </w:r>
          </w:p>
        </w:tc>
      </w:tr>
    </w:tbl>
    <w:p w14:paraId="74FBA5B4" w14:textId="77777777" w:rsidR="00051356" w:rsidRPr="00167CFD" w:rsidRDefault="00051356" w:rsidP="0009169D">
      <w:pPr>
        <w:pStyle w:val="BodyText"/>
        <w:spacing w:after="0"/>
        <w:rPr>
          <w:b/>
          <w:bCs/>
          <w:sz w:val="16"/>
          <w:szCs w:val="16"/>
        </w:rPr>
        <w:sectPr w:rsidR="00051356" w:rsidRPr="00167CFD" w:rsidSect="0064054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5D91FAC" w:rsidR="004B15BB" w:rsidRPr="00167CFD" w:rsidRDefault="007B1CDF" w:rsidP="007E5C16">
      <w:pPr>
        <w:pStyle w:val="Heading1"/>
      </w:pPr>
      <w:r w:rsidRPr="00167CFD">
        <w:t>Specialty Guideline Management</w:t>
      </w:r>
      <w:r w:rsidRPr="00167CFD">
        <w:br/>
        <w:t>Tymlos</w:t>
      </w:r>
    </w:p>
    <w:p w14:paraId="78861C92" w14:textId="28C28908" w:rsidR="00203468" w:rsidRPr="00167CFD" w:rsidRDefault="00C64534" w:rsidP="008E0F0D">
      <w:pPr>
        <w:pStyle w:val="Heading2"/>
      </w:pPr>
      <w:r w:rsidRPr="00167CFD">
        <w:t xml:space="preserve">Products Referenced by this </w:t>
      </w:r>
      <w:r w:rsidR="00501602" w:rsidRPr="00167CFD">
        <w:t>Document</w:t>
      </w:r>
    </w:p>
    <w:p w14:paraId="5455152B" w14:textId="7BDD6344" w:rsidR="008E0F0D" w:rsidRPr="00167CFD" w:rsidRDefault="00D82D85" w:rsidP="008B73E8">
      <w:pPr>
        <w:pStyle w:val="BodyText"/>
      </w:pPr>
      <w:r w:rsidRPr="00167CFD">
        <w:t xml:space="preserve">Drugs that are listed in the </w:t>
      </w:r>
      <w:r w:rsidR="000315F1" w:rsidRPr="00167CFD">
        <w:t>following table</w:t>
      </w:r>
      <w:r w:rsidRPr="00167CFD">
        <w:t xml:space="preserve"> include both brand and generic and all dosage forms and strengths unless otherwise stated. </w:t>
      </w:r>
      <w:r w:rsidR="00E7441C">
        <w:t xml:space="preserve">Over-the counter </w:t>
      </w:r>
      <w:r w:rsidR="00287C42">
        <w:t>(</w:t>
      </w:r>
      <w:r w:rsidRPr="00167CFD">
        <w:t>OTC</w:t>
      </w:r>
      <w:r w:rsidR="00287C42">
        <w:t>)</w:t>
      </w:r>
      <w:r w:rsidRPr="00167CFD">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167CFD" w14:paraId="158421F8" w14:textId="77777777" w:rsidTr="000C5A6F">
        <w:trPr>
          <w:cantSplit/>
          <w:trHeight w:val="288"/>
          <w:tblHeader/>
        </w:trPr>
        <w:tc>
          <w:tcPr>
            <w:tcW w:w="5265" w:type="dxa"/>
            <w:vAlign w:val="center"/>
          </w:tcPr>
          <w:p w14:paraId="2A27354A" w14:textId="1390179E" w:rsidR="00252CE1" w:rsidRPr="00167CFD" w:rsidRDefault="00252CE1" w:rsidP="00AA1E6A">
            <w:pPr>
              <w:pStyle w:val="TableHeader"/>
            </w:pPr>
            <w:bookmarkStart w:id="0" w:name="_Hlk159603270"/>
            <w:r w:rsidRPr="00167CFD">
              <w:t>Brand Name</w:t>
            </w:r>
          </w:p>
        </w:tc>
        <w:tc>
          <w:tcPr>
            <w:tcW w:w="5595" w:type="dxa"/>
            <w:vAlign w:val="center"/>
          </w:tcPr>
          <w:p w14:paraId="3D342BE1" w14:textId="75F11EF1" w:rsidR="00252CE1" w:rsidRPr="00167CFD" w:rsidRDefault="00252CE1" w:rsidP="00AA1E6A">
            <w:pPr>
              <w:pStyle w:val="TableHeader"/>
            </w:pPr>
            <w:r w:rsidRPr="00167CFD">
              <w:t>Generic Name</w:t>
            </w:r>
          </w:p>
        </w:tc>
      </w:tr>
      <w:tr w:rsidR="00585FFF" w:rsidRPr="00167CFD" w14:paraId="2AD5C02D" w14:textId="77777777" w:rsidTr="000C5A6F">
        <w:trPr>
          <w:cantSplit/>
        </w:trPr>
        <w:tc>
          <w:tcPr>
            <w:tcW w:w="5265" w:type="dxa"/>
          </w:tcPr>
          <w:p w14:paraId="2D8FA8E3" w14:textId="3C91F62D" w:rsidR="00585FFF" w:rsidRPr="00167CFD" w:rsidRDefault="007B1CDF" w:rsidP="00E82ABA">
            <w:pPr>
              <w:pStyle w:val="TableDataUnpadded"/>
            </w:pPr>
            <w:r w:rsidRPr="00167CFD">
              <w:t>Tymlos</w:t>
            </w:r>
          </w:p>
        </w:tc>
        <w:tc>
          <w:tcPr>
            <w:tcW w:w="5595" w:type="dxa"/>
          </w:tcPr>
          <w:p w14:paraId="7E26A004" w14:textId="32742E1C" w:rsidR="00585FFF" w:rsidRPr="00167CFD" w:rsidRDefault="007B1CDF" w:rsidP="00E82ABA">
            <w:pPr>
              <w:pStyle w:val="TableDataUnpadded"/>
            </w:pPr>
            <w:r w:rsidRPr="00167CFD">
              <w:t>abaloparatide</w:t>
            </w:r>
          </w:p>
        </w:tc>
      </w:tr>
    </w:tbl>
    <w:bookmarkEnd w:id="0"/>
    <w:p w14:paraId="14CE6108" w14:textId="79DD7875" w:rsidR="00FC1AAD" w:rsidRPr="00167CFD" w:rsidRDefault="00ED052F" w:rsidP="00AA2A94">
      <w:pPr>
        <w:pStyle w:val="Heading2"/>
        <w:tabs>
          <w:tab w:val="left" w:pos="9540"/>
        </w:tabs>
      </w:pPr>
      <w:r w:rsidRPr="00167CFD">
        <w:t>Indications</w:t>
      </w:r>
    </w:p>
    <w:p w14:paraId="3391CC9B" w14:textId="654E12E7" w:rsidR="007B1CDF" w:rsidRPr="00167CFD" w:rsidRDefault="007B1CDF" w:rsidP="007B1CDF">
      <w:pPr>
        <w:pStyle w:val="BodyText"/>
      </w:pPr>
      <w:r w:rsidRPr="00167CFD">
        <w:t>The indications below including FDA-approved indications and compendial uses are considered a covered benefit provided that all the approval criteria are met and the member has no exclusions to the prescribed therapy.</w:t>
      </w:r>
    </w:p>
    <w:p w14:paraId="134B5687" w14:textId="62C1CC1D" w:rsidR="00ED052F" w:rsidRDefault="00ED052F" w:rsidP="00ED052F">
      <w:pPr>
        <w:pStyle w:val="Heading3"/>
        <w:keepNext w:val="0"/>
        <w:rPr>
          <w:vertAlign w:val="superscript"/>
        </w:rPr>
      </w:pPr>
      <w:r w:rsidRPr="00167CFD">
        <w:t>FDA-</w:t>
      </w:r>
      <w:r w:rsidR="0009169D">
        <w:t>A</w:t>
      </w:r>
      <w:r w:rsidRPr="00167CFD">
        <w:t>pproved Indications</w:t>
      </w:r>
      <w:r w:rsidR="007B1CDF" w:rsidRPr="00167CFD">
        <w:rPr>
          <w:vertAlign w:val="superscript"/>
        </w:rPr>
        <w:t>1</w:t>
      </w:r>
    </w:p>
    <w:p w14:paraId="6C9463F4" w14:textId="58692560" w:rsidR="007B1CDF" w:rsidRPr="00167CFD" w:rsidRDefault="007B1CDF" w:rsidP="007B1CDF">
      <w:pPr>
        <w:pStyle w:val="ListParagraph"/>
      </w:pPr>
      <w:r w:rsidRPr="00167CFD">
        <w:t>Treatment of postmenopausal women with osteoporosis at high risk for fracture (defined as history of osteoporotic fracture or multiple risk factors for fracture), or patients who have failed or are intolerant to other available osteoporosis therapy.</w:t>
      </w:r>
    </w:p>
    <w:p w14:paraId="7E1C69C5" w14:textId="1464CE20" w:rsidR="007B1CDF" w:rsidRPr="00167CFD" w:rsidRDefault="007B1CDF" w:rsidP="007B1CDF">
      <w:pPr>
        <w:pStyle w:val="ListParagraph"/>
      </w:pPr>
      <w:r w:rsidRPr="00167CFD">
        <w:t>Treatment to increase bone density in men with osteoporosis at high risk for fracture (defined as a history of osteoporotic fracture or multiple risk factors for fracture), or patients who have failed or are intolerant to other available osteoporosis therapy.</w:t>
      </w:r>
    </w:p>
    <w:p w14:paraId="4C434745" w14:textId="2312A4B4" w:rsidR="00ED052F" w:rsidRPr="00167CFD" w:rsidRDefault="007B1CDF" w:rsidP="007B1CDF">
      <w:pPr>
        <w:pStyle w:val="BodyText"/>
      </w:pPr>
      <w:r w:rsidRPr="00167CFD">
        <w:t>All other indications are considered experimental/investigational and not medically necessary.</w:t>
      </w:r>
    </w:p>
    <w:p w14:paraId="36381B6D" w14:textId="2AC9AE5C" w:rsidR="000D2496" w:rsidRPr="00167CFD" w:rsidRDefault="000D2496" w:rsidP="0009169D">
      <w:pPr>
        <w:pStyle w:val="Heading2"/>
        <w:keepNext w:val="0"/>
        <w:widowControl w:val="0"/>
      </w:pPr>
      <w:r w:rsidRPr="00167CFD">
        <w:t>Documentation</w:t>
      </w:r>
    </w:p>
    <w:p w14:paraId="2180ED6E" w14:textId="5189A301" w:rsidR="000D2496" w:rsidRPr="00167CFD" w:rsidRDefault="007B1CDF" w:rsidP="0009169D">
      <w:pPr>
        <w:pStyle w:val="BodyText"/>
        <w:widowControl w:val="0"/>
      </w:pPr>
      <w:r w:rsidRPr="00167CFD">
        <w:t xml:space="preserve">Submission of the following information is necessary to initiate the prior authorization review: </w:t>
      </w:r>
      <w:r w:rsidR="00B51040">
        <w:t>C</w:t>
      </w:r>
      <w:r w:rsidRPr="00167CFD">
        <w:t>hart notes or medical record</w:t>
      </w:r>
      <w:r w:rsidR="00B51040">
        <w:t xml:space="preserve"> documentation</w:t>
      </w:r>
      <w:r w:rsidRPr="00167CFD">
        <w:t xml:space="preserve"> indicating a history of fractures, T-score, and </w:t>
      </w:r>
      <w:r w:rsidR="00C06283">
        <w:t>Fracture Risk Assessment Tool (</w:t>
      </w:r>
      <w:r w:rsidRPr="00167CFD">
        <w:t>FRAX</w:t>
      </w:r>
      <w:r w:rsidR="00C06283">
        <w:t>)</w:t>
      </w:r>
      <w:r w:rsidRPr="00167CFD">
        <w:t xml:space="preserve"> fracture probability as applicable to the coverage criteria section.</w:t>
      </w:r>
    </w:p>
    <w:p w14:paraId="50A38FBA" w14:textId="5AF63902" w:rsidR="00FE0C63" w:rsidRPr="00167CFD" w:rsidRDefault="00685107" w:rsidP="00E050E1">
      <w:pPr>
        <w:pStyle w:val="Heading2"/>
      </w:pPr>
      <w:r w:rsidRPr="00167CFD">
        <w:lastRenderedPageBreak/>
        <w:t>Coverage Criteria</w:t>
      </w:r>
    </w:p>
    <w:p w14:paraId="2CB62D7B" w14:textId="3F188C67" w:rsidR="007B1CDF" w:rsidRPr="00167CFD" w:rsidRDefault="007B1CDF" w:rsidP="007B1CDF">
      <w:pPr>
        <w:pStyle w:val="Heading3"/>
      </w:pPr>
      <w:r w:rsidRPr="00167CFD">
        <w:t xml:space="preserve">Postmenopausal </w:t>
      </w:r>
      <w:r w:rsidR="0009169D" w:rsidRPr="00167CFD">
        <w:t>Osteoporosis</w:t>
      </w:r>
      <w:r w:rsidR="0009169D" w:rsidRPr="00167CFD">
        <w:rPr>
          <w:vertAlign w:val="superscript"/>
        </w:rPr>
        <w:t>1-</w:t>
      </w:r>
      <w:r w:rsidR="00C01390">
        <w:rPr>
          <w:vertAlign w:val="superscript"/>
        </w:rPr>
        <w:t>7</w:t>
      </w:r>
    </w:p>
    <w:p w14:paraId="63FB881F" w14:textId="77777777" w:rsidR="007B1CDF" w:rsidRPr="00167CFD" w:rsidRDefault="007B1CDF" w:rsidP="007B1CDF">
      <w:pPr>
        <w:pStyle w:val="BodyText"/>
      </w:pPr>
      <w:r w:rsidRPr="00167CFD">
        <w:t>Authorization of an initial total of 12 months may be granted to postmenopausal members with osteoporosis when EITHER of the following criteria is met:</w:t>
      </w:r>
    </w:p>
    <w:p w14:paraId="43A1EF31" w14:textId="5B108B1F" w:rsidR="007B1CDF" w:rsidRPr="00167CFD" w:rsidRDefault="007B1CDF" w:rsidP="0009169D">
      <w:pPr>
        <w:pStyle w:val="ListParagraph"/>
        <w:numPr>
          <w:ilvl w:val="0"/>
          <w:numId w:val="28"/>
        </w:numPr>
      </w:pPr>
      <w:r w:rsidRPr="00167CFD">
        <w:t>Member has a history of fragility fractures</w:t>
      </w:r>
      <w:r w:rsidR="00261826">
        <w:t xml:space="preserve"> </w:t>
      </w:r>
      <w:r w:rsidR="003E6547">
        <w:rPr>
          <w:rStyle w:val="ui-provider"/>
        </w:rPr>
        <w:t>(e.g., low trauma fracture from force similar to a fall from standing position).</w:t>
      </w:r>
    </w:p>
    <w:p w14:paraId="36621427" w14:textId="77777777" w:rsidR="007B1CDF" w:rsidRPr="00167CFD" w:rsidRDefault="007B1CDF" w:rsidP="0009169D">
      <w:pPr>
        <w:pStyle w:val="ListParagraph"/>
        <w:numPr>
          <w:ilvl w:val="0"/>
          <w:numId w:val="28"/>
        </w:numPr>
      </w:pPr>
      <w:r w:rsidRPr="00167CFD">
        <w:t>Member has a pre-treatment T-score less than or equal to -2.5 OR member has osteopenia (i.e., pre-treatment T-score greater than -2.5 and less than -1) with a high pre-treatment FRAX fracture probability (see Appendix B) and meets ANY of the following criteria:</w:t>
      </w:r>
    </w:p>
    <w:p w14:paraId="6BABDE7A" w14:textId="77777777" w:rsidR="007B1CDF" w:rsidRPr="00167CFD" w:rsidRDefault="007B1CDF" w:rsidP="0009169D">
      <w:pPr>
        <w:pStyle w:val="ListParagraph"/>
        <w:numPr>
          <w:ilvl w:val="1"/>
          <w:numId w:val="28"/>
        </w:numPr>
      </w:pPr>
      <w:r w:rsidRPr="00167CFD">
        <w:t>Member has indicators of very high fracture risk (e.g., advanced age, frailty, glucocorticoid use, very low T-scores [less than or equal to -3], or increased fall risk)</w:t>
      </w:r>
    </w:p>
    <w:p w14:paraId="3B82E502" w14:textId="23B7D9F8" w:rsidR="007B1CDF" w:rsidRPr="00167CFD" w:rsidRDefault="007B1CDF" w:rsidP="0009169D">
      <w:pPr>
        <w:pStyle w:val="ListParagraph"/>
        <w:numPr>
          <w:ilvl w:val="1"/>
          <w:numId w:val="28"/>
        </w:numPr>
      </w:pPr>
      <w:r w:rsidRPr="00167CFD">
        <w:t>Member has failed prior treatment with or is intolerant to previous injectable osteoporosis therapy (e.g., zoledronic acid [</w:t>
      </w:r>
      <w:proofErr w:type="spellStart"/>
      <w:r w:rsidRPr="00167CFD">
        <w:t>Reclast</w:t>
      </w:r>
      <w:proofErr w:type="spellEnd"/>
      <w:r w:rsidRPr="00167CFD">
        <w:t xml:space="preserve">], </w:t>
      </w:r>
      <w:r w:rsidR="004C4055">
        <w:t xml:space="preserve">a </w:t>
      </w:r>
      <w:r w:rsidRPr="00167CFD">
        <w:t xml:space="preserve">denosumab </w:t>
      </w:r>
      <w:r w:rsidR="004C4055">
        <w:t xml:space="preserve">product </w:t>
      </w:r>
      <w:r w:rsidRPr="00167CFD">
        <w:t>[Prolia</w:t>
      </w:r>
      <w:r w:rsidR="004C4055">
        <w:t xml:space="preserve">, </w:t>
      </w:r>
      <w:proofErr w:type="spellStart"/>
      <w:r w:rsidR="004C4055">
        <w:t>Jubbonti</w:t>
      </w:r>
      <w:proofErr w:type="spellEnd"/>
      <w:r w:rsidR="004C4055">
        <w:t xml:space="preserve">, </w:t>
      </w:r>
      <w:proofErr w:type="spellStart"/>
      <w:r w:rsidR="004C4055">
        <w:t>Ospomyv</w:t>
      </w:r>
      <w:proofErr w:type="spellEnd"/>
      <w:r w:rsidR="004C4055">
        <w:t xml:space="preserve">, </w:t>
      </w:r>
      <w:proofErr w:type="spellStart"/>
      <w:r w:rsidR="000270A7">
        <w:t>Stoboclo</w:t>
      </w:r>
      <w:proofErr w:type="spellEnd"/>
      <w:r w:rsidRPr="00167CFD">
        <w:t>],</w:t>
      </w:r>
      <w:r w:rsidR="00414892">
        <w:t xml:space="preserve"> </w:t>
      </w:r>
      <w:r w:rsidRPr="00167CFD">
        <w:t>teriparatide [Forteo])</w:t>
      </w:r>
    </w:p>
    <w:p w14:paraId="18C639F9" w14:textId="54A9E1B7" w:rsidR="007B1CDF" w:rsidRPr="00167CFD" w:rsidRDefault="007B1CDF" w:rsidP="0009169D">
      <w:pPr>
        <w:pStyle w:val="ListParagraph"/>
        <w:numPr>
          <w:ilvl w:val="1"/>
          <w:numId w:val="28"/>
        </w:numPr>
      </w:pPr>
      <w:r w:rsidRPr="00167CFD">
        <w:t>Member has had an oral bisphosphonate trial of at least 1-year duration or there is a clinical reason to avoid treatment with an oral bisphosphonate (see Appendix A)</w:t>
      </w:r>
    </w:p>
    <w:p w14:paraId="07AACA78" w14:textId="53131C11" w:rsidR="007B1CDF" w:rsidRPr="00167CFD" w:rsidRDefault="007B1CDF" w:rsidP="007B1CDF">
      <w:pPr>
        <w:pStyle w:val="Heading3"/>
      </w:pPr>
      <w:r w:rsidRPr="00167CFD">
        <w:t xml:space="preserve">Osteoporosis </w:t>
      </w:r>
      <w:r w:rsidR="0009169D">
        <w:t>i</w:t>
      </w:r>
      <w:r w:rsidR="0009169D" w:rsidRPr="00167CFD">
        <w:t>n Men</w:t>
      </w:r>
      <w:r w:rsidR="0009169D" w:rsidRPr="00167CFD">
        <w:rPr>
          <w:vertAlign w:val="superscript"/>
        </w:rPr>
        <w:t>1</w:t>
      </w:r>
      <w:r w:rsidRPr="00167CFD">
        <w:rPr>
          <w:vertAlign w:val="superscript"/>
        </w:rPr>
        <w:t>,</w:t>
      </w:r>
      <w:r w:rsidR="00C01390">
        <w:rPr>
          <w:vertAlign w:val="superscript"/>
        </w:rPr>
        <w:t>7</w:t>
      </w:r>
      <w:r w:rsidRPr="00167CFD">
        <w:rPr>
          <w:vertAlign w:val="superscript"/>
        </w:rPr>
        <w:t>,</w:t>
      </w:r>
      <w:r w:rsidR="00C01390">
        <w:rPr>
          <w:vertAlign w:val="superscript"/>
        </w:rPr>
        <w:t>8</w:t>
      </w:r>
    </w:p>
    <w:p w14:paraId="3E261C3C" w14:textId="77777777" w:rsidR="007B1CDF" w:rsidRPr="00167CFD" w:rsidRDefault="007B1CDF" w:rsidP="007B1CDF">
      <w:pPr>
        <w:pStyle w:val="BodyText"/>
      </w:pPr>
      <w:r w:rsidRPr="00167CFD">
        <w:t>Authorization of an initial total of 12 months may be granted to male members with osteoporosis when EITHER of the following criteria is met:</w:t>
      </w:r>
    </w:p>
    <w:p w14:paraId="5715FDF1" w14:textId="77777777" w:rsidR="007B1CDF" w:rsidRPr="00167CFD" w:rsidRDefault="007B1CDF" w:rsidP="0009169D">
      <w:pPr>
        <w:pStyle w:val="ListParagraph"/>
        <w:numPr>
          <w:ilvl w:val="0"/>
          <w:numId w:val="29"/>
        </w:numPr>
      </w:pPr>
      <w:r w:rsidRPr="00167CFD">
        <w:t>Member has a history of an osteoporotic vertebral or hip fracture</w:t>
      </w:r>
    </w:p>
    <w:p w14:paraId="01BBDFB8" w14:textId="77777777" w:rsidR="007B1CDF" w:rsidRPr="00167CFD" w:rsidRDefault="007B1CDF" w:rsidP="0009169D">
      <w:pPr>
        <w:pStyle w:val="ListParagraph"/>
        <w:numPr>
          <w:ilvl w:val="0"/>
          <w:numId w:val="29"/>
        </w:numPr>
      </w:pPr>
      <w:r w:rsidRPr="00167CFD">
        <w:t>Member meets BOTH of the following criteria:</w:t>
      </w:r>
    </w:p>
    <w:p w14:paraId="1F824F2B" w14:textId="77777777" w:rsidR="007B1CDF" w:rsidRPr="00167CFD" w:rsidRDefault="007B1CDF" w:rsidP="0009169D">
      <w:pPr>
        <w:pStyle w:val="ListParagraph"/>
        <w:numPr>
          <w:ilvl w:val="1"/>
          <w:numId w:val="29"/>
        </w:numPr>
      </w:pPr>
      <w:r w:rsidRPr="00167CFD">
        <w:t>Member has a pre-treatment T-score less than or equal to -2.5 OR member has osteopenia (i.e., pre-treatment T-score greater than -2.5 and less than -1) with a high pre-treatment FRAX fracture probability (see Appendix B)</w:t>
      </w:r>
    </w:p>
    <w:p w14:paraId="554B6E8F" w14:textId="4CDF2A6D" w:rsidR="00B836B0" w:rsidRPr="00167CFD" w:rsidRDefault="007B1CDF" w:rsidP="0009169D">
      <w:pPr>
        <w:pStyle w:val="ListParagraph"/>
        <w:numPr>
          <w:ilvl w:val="1"/>
          <w:numId w:val="29"/>
        </w:numPr>
      </w:pPr>
      <w:r w:rsidRPr="00167CFD">
        <w:t xml:space="preserve">Member has had an oral </w:t>
      </w:r>
      <w:r w:rsidR="00C06283">
        <w:t>or</w:t>
      </w:r>
      <w:r w:rsidRPr="00167CFD">
        <w:t xml:space="preserve"> injectable bisphosphonate trial of at least 1-year duration OR there is a clinical reason to avoid treatment with a bisphosphonate (see Appendix A)</w:t>
      </w:r>
    </w:p>
    <w:p w14:paraId="3A643EC3" w14:textId="2BCF1E84" w:rsidR="00A501AC" w:rsidRPr="00167CFD" w:rsidRDefault="00A501AC" w:rsidP="00A501AC">
      <w:pPr>
        <w:pStyle w:val="Heading2"/>
      </w:pPr>
      <w:r w:rsidRPr="00167CFD">
        <w:t>Continuation of Therapy</w:t>
      </w:r>
      <w:r w:rsidR="00D743B0" w:rsidRPr="003353FF">
        <w:rPr>
          <w:b w:val="0"/>
          <w:bCs w:val="0"/>
          <w:vertAlign w:val="superscript"/>
        </w:rPr>
        <w:t>1</w:t>
      </w:r>
    </w:p>
    <w:p w14:paraId="32C8905D" w14:textId="3936CE47" w:rsidR="00A501AC" w:rsidRPr="00167CFD" w:rsidRDefault="00D743B0" w:rsidP="003D46B0">
      <w:pPr>
        <w:pStyle w:val="BodyText"/>
      </w:pPr>
      <w:r w:rsidRPr="00167CFD">
        <w:t>Authorization of 12 months may be granted for all members (including new members) who are currently receiving the requested medication through a previously authorized pharmacy or medical benefit, who have not experienced clinically significant adverse events during therapy.</w:t>
      </w:r>
    </w:p>
    <w:p w14:paraId="05B6DEFF" w14:textId="57205C8D" w:rsidR="008B1332" w:rsidRPr="00167CFD" w:rsidRDefault="008B1332" w:rsidP="008B1332">
      <w:pPr>
        <w:pStyle w:val="Heading2"/>
      </w:pPr>
      <w:r w:rsidRPr="00167CFD">
        <w:lastRenderedPageBreak/>
        <w:t>Other</w:t>
      </w:r>
    </w:p>
    <w:p w14:paraId="7A2343C5" w14:textId="64C022F9" w:rsidR="00D24F6F" w:rsidRPr="00167CFD" w:rsidRDefault="00D743B0" w:rsidP="00D24F6F">
      <w:pPr>
        <w:pStyle w:val="BodyText"/>
      </w:pPr>
      <w:r w:rsidRPr="00167CFD">
        <w:t>The cumulative duration of parathyroid hormone analogs (teriparatide and abaloparatide) will not exceed a total of 24 months in the member’s lifetime.</w:t>
      </w:r>
    </w:p>
    <w:p w14:paraId="784D6ED7" w14:textId="5142DA04" w:rsidR="008B1332" w:rsidRPr="00167CFD" w:rsidRDefault="008B1332" w:rsidP="008B1332">
      <w:pPr>
        <w:pStyle w:val="Heading2"/>
      </w:pPr>
      <w:r w:rsidRPr="00167CFD">
        <w:t>Appendi</w:t>
      </w:r>
      <w:r w:rsidR="000402E1">
        <w:t>x</w:t>
      </w:r>
    </w:p>
    <w:p w14:paraId="45799CCC" w14:textId="2A3FA588" w:rsidR="00D743B0" w:rsidRPr="00167CFD" w:rsidRDefault="00D743B0" w:rsidP="00D743B0">
      <w:pPr>
        <w:pStyle w:val="Heading3"/>
      </w:pPr>
      <w:r w:rsidRPr="00167CFD">
        <w:t>Appendix A</w:t>
      </w:r>
      <w:r w:rsidR="0009169D" w:rsidRPr="00167CFD">
        <w:t xml:space="preserve">. </w:t>
      </w:r>
      <w:r w:rsidRPr="00167CFD">
        <w:t xml:space="preserve">Clinical </w:t>
      </w:r>
      <w:r w:rsidR="0009169D" w:rsidRPr="00167CFD">
        <w:t xml:space="preserve">Reasons </w:t>
      </w:r>
      <w:r w:rsidR="0009169D">
        <w:t>t</w:t>
      </w:r>
      <w:r w:rsidR="0009169D" w:rsidRPr="00167CFD">
        <w:t>o Avoid Oral Bisphosphonate Therapy</w:t>
      </w:r>
      <w:r w:rsidR="0009169D" w:rsidRPr="00167CFD">
        <w:rPr>
          <w:vertAlign w:val="superscript"/>
        </w:rPr>
        <w:t>3</w:t>
      </w:r>
    </w:p>
    <w:p w14:paraId="658104D7" w14:textId="0CB2A4EC" w:rsidR="00D743B0" w:rsidRPr="00167CFD" w:rsidRDefault="00D743B0" w:rsidP="0009169D">
      <w:pPr>
        <w:pStyle w:val="ListParagraph"/>
        <w:numPr>
          <w:ilvl w:val="0"/>
          <w:numId w:val="30"/>
        </w:numPr>
      </w:pPr>
      <w:r w:rsidRPr="00167CFD">
        <w:t>Presence of anatomic or functional esophageal abnormalities that might delay transit of the tablet (e.g., achalasia, stricture, or dysmotility)</w:t>
      </w:r>
    </w:p>
    <w:p w14:paraId="21A397EE" w14:textId="77777777" w:rsidR="00D743B0" w:rsidRPr="00167CFD" w:rsidRDefault="00D743B0" w:rsidP="0009169D">
      <w:pPr>
        <w:pStyle w:val="ListParagraph"/>
        <w:numPr>
          <w:ilvl w:val="0"/>
          <w:numId w:val="30"/>
        </w:numPr>
      </w:pPr>
      <w:r w:rsidRPr="00167CFD">
        <w:t>Active upper gastrointestinal problem (e.g., dysphagia, gastritis, duodenitis, erosive esophagitis, ulcers)</w:t>
      </w:r>
    </w:p>
    <w:p w14:paraId="1C08478D" w14:textId="77777777" w:rsidR="00D743B0" w:rsidRPr="00167CFD" w:rsidRDefault="00D743B0" w:rsidP="0009169D">
      <w:pPr>
        <w:pStyle w:val="ListParagraph"/>
        <w:numPr>
          <w:ilvl w:val="0"/>
          <w:numId w:val="30"/>
        </w:numPr>
      </w:pPr>
      <w:r w:rsidRPr="00167CFD">
        <w:t>Presence of documented or potential gastrointestinal malabsorption (e.g., gastric bypass procedures, celiac disease, Crohn’s disease, infiltrative disorders, etc.)</w:t>
      </w:r>
    </w:p>
    <w:p w14:paraId="04ADA7A5" w14:textId="77777777" w:rsidR="00D743B0" w:rsidRPr="00167CFD" w:rsidRDefault="00D743B0" w:rsidP="0009169D">
      <w:pPr>
        <w:pStyle w:val="ListParagraph"/>
        <w:numPr>
          <w:ilvl w:val="0"/>
          <w:numId w:val="30"/>
        </w:numPr>
      </w:pPr>
      <w:r w:rsidRPr="00167CFD">
        <w:t>Inability to stand or sit upright for at least 30 to 60 minutes</w:t>
      </w:r>
    </w:p>
    <w:p w14:paraId="150519FE" w14:textId="77777777" w:rsidR="00D743B0" w:rsidRPr="00167CFD" w:rsidRDefault="00D743B0" w:rsidP="0009169D">
      <w:pPr>
        <w:pStyle w:val="ListParagraph"/>
        <w:numPr>
          <w:ilvl w:val="0"/>
          <w:numId w:val="30"/>
        </w:numPr>
      </w:pPr>
      <w:r w:rsidRPr="00167CFD">
        <w:t>Inability to take oral bisphosphonate at least 30 to 60 minutes before first food, drink, or medication of the day</w:t>
      </w:r>
    </w:p>
    <w:p w14:paraId="7FC2EFD3" w14:textId="77777777" w:rsidR="00D743B0" w:rsidRPr="00167CFD" w:rsidRDefault="00D743B0" w:rsidP="0009169D">
      <w:pPr>
        <w:pStyle w:val="ListParagraph"/>
        <w:numPr>
          <w:ilvl w:val="0"/>
          <w:numId w:val="30"/>
        </w:numPr>
      </w:pPr>
      <w:r w:rsidRPr="00167CFD">
        <w:t>Renal insufficiency (creatinine clearance &lt; 35 mL/min)</w:t>
      </w:r>
    </w:p>
    <w:p w14:paraId="23CDE21A" w14:textId="33660F27" w:rsidR="00D743B0" w:rsidRDefault="00D743B0" w:rsidP="0009169D">
      <w:pPr>
        <w:pStyle w:val="ListParagraph"/>
        <w:numPr>
          <w:ilvl w:val="0"/>
          <w:numId w:val="30"/>
        </w:numPr>
      </w:pPr>
      <w:r w:rsidRPr="00167CFD">
        <w:t xml:space="preserve">History of intolerance to an oral bisphosphonate </w:t>
      </w:r>
    </w:p>
    <w:p w14:paraId="05095B10" w14:textId="77777777" w:rsidR="0009169D" w:rsidRDefault="0009169D" w:rsidP="0009169D">
      <w:pPr>
        <w:pStyle w:val="ListParagraph"/>
        <w:numPr>
          <w:ilvl w:val="0"/>
          <w:numId w:val="30"/>
        </w:numPr>
        <w:sectPr w:rsidR="0009169D" w:rsidSect="0064054B">
          <w:type w:val="continuous"/>
          <w:pgSz w:w="12240" w:h="15840" w:code="1"/>
          <w:pgMar w:top="900" w:right="720" w:bottom="990" w:left="720" w:header="720" w:footer="807" w:gutter="0"/>
          <w:paperSrc w:first="15" w:other="15"/>
          <w:cols w:space="720"/>
          <w:titlePg/>
          <w:docGrid w:linePitch="272"/>
        </w:sectPr>
      </w:pPr>
    </w:p>
    <w:p w14:paraId="2C67B59F" w14:textId="2A200935" w:rsidR="00D743B0" w:rsidRPr="00167CFD" w:rsidRDefault="00D743B0" w:rsidP="00D743B0">
      <w:pPr>
        <w:pStyle w:val="Heading3"/>
      </w:pPr>
      <w:r w:rsidRPr="00167CFD">
        <w:t>Appendix B. FRAX Fracture Risk Assessment Tool</w:t>
      </w:r>
      <w:r w:rsidRPr="0009169D">
        <w:rPr>
          <w:vertAlign w:val="superscript"/>
        </w:rPr>
        <w:t>4</w:t>
      </w:r>
    </w:p>
    <w:p w14:paraId="21AF54C1" w14:textId="77777777" w:rsidR="00D743B0" w:rsidRPr="00167CFD" w:rsidRDefault="00D743B0" w:rsidP="0009169D">
      <w:pPr>
        <w:pStyle w:val="ListParagraph"/>
        <w:numPr>
          <w:ilvl w:val="0"/>
          <w:numId w:val="31"/>
        </w:numPr>
      </w:pPr>
      <w:r w:rsidRPr="00167CFD">
        <w:t xml:space="preserve">High FRAX fracture probability: 10-year major osteoporosis-related fracture risk </w:t>
      </w:r>
      <w:r w:rsidRPr="0009169D">
        <w:rPr>
          <w:rFonts w:ascii="Arial" w:hAnsi="Arial"/>
        </w:rPr>
        <w:t>≥</w:t>
      </w:r>
      <w:r w:rsidRPr="00167CFD">
        <w:t xml:space="preserve"> 20% or hip fracture risk </w:t>
      </w:r>
      <w:r w:rsidRPr="0009169D">
        <w:rPr>
          <w:rFonts w:ascii="Arial" w:hAnsi="Arial"/>
        </w:rPr>
        <w:t>≥</w:t>
      </w:r>
      <w:r w:rsidRPr="00167CFD">
        <w:t xml:space="preserve"> 3%</w:t>
      </w:r>
    </w:p>
    <w:p w14:paraId="5E53283C" w14:textId="2A0E047B" w:rsidR="00D743B0" w:rsidRPr="00167CFD" w:rsidRDefault="00D743B0" w:rsidP="0009169D">
      <w:pPr>
        <w:pStyle w:val="ListParagraph"/>
        <w:numPr>
          <w:ilvl w:val="0"/>
          <w:numId w:val="31"/>
        </w:numPr>
      </w:pPr>
      <w:r w:rsidRPr="00167CFD">
        <w:t>10-year probability; calculation tool available at: https://</w:t>
      </w:r>
      <w:r w:rsidR="00A2476D">
        <w:t>frax</w:t>
      </w:r>
      <w:r w:rsidRPr="00167CFD">
        <w:t>.shef.ac.uk/FRAX</w:t>
      </w:r>
    </w:p>
    <w:p w14:paraId="1074CC61" w14:textId="373B6183" w:rsidR="004172BF" w:rsidRDefault="00D743B0" w:rsidP="0009169D">
      <w:pPr>
        <w:pStyle w:val="ListParagraph"/>
        <w:numPr>
          <w:ilvl w:val="0"/>
          <w:numId w:val="31"/>
        </w:numPr>
      </w:pPr>
      <w:r w:rsidRPr="00167CFD">
        <w:t>The estimated risk score generated with FRAX should be multiplied by 1.15 for major osteoporotic fracture (including fractures of the spine [clinical], hip, wrist, or humerus) and 1.2 for hip fracture if glucocorticoid treatment is greater than 7.5 mg (prednisone equivalent) per day</w:t>
      </w:r>
    </w:p>
    <w:p w14:paraId="10DA4309" w14:textId="162A842A" w:rsidR="00FF66BF" w:rsidRPr="00167CFD" w:rsidRDefault="00FF66BF" w:rsidP="00747147">
      <w:pPr>
        <w:pStyle w:val="Heading2"/>
        <w:tabs>
          <w:tab w:val="clear" w:pos="2880"/>
          <w:tab w:val="left" w:pos="9630"/>
        </w:tabs>
      </w:pPr>
      <w:r w:rsidRPr="00167CFD">
        <w:t>References</w:t>
      </w:r>
    </w:p>
    <w:p w14:paraId="035C2F89" w14:textId="3C6DA091" w:rsidR="00D743B0" w:rsidRPr="0009169D" w:rsidRDefault="00D743B0" w:rsidP="0009169D">
      <w:pPr>
        <w:pStyle w:val="ReferenceOrdered"/>
      </w:pPr>
      <w:r w:rsidRPr="0009169D">
        <w:t>Tymlos [package insert]. Boston, MA: Radius Health, Inc.;</w:t>
      </w:r>
      <w:r w:rsidR="005B12B6">
        <w:t xml:space="preserve"> February</w:t>
      </w:r>
      <w:r w:rsidRPr="0009169D">
        <w:t xml:space="preserve"> 202</w:t>
      </w:r>
      <w:r w:rsidR="005B12B6">
        <w:t>4</w:t>
      </w:r>
      <w:r w:rsidRPr="0009169D">
        <w:t>.</w:t>
      </w:r>
    </w:p>
    <w:p w14:paraId="029852D2" w14:textId="77777777" w:rsidR="00D743B0" w:rsidRPr="0009169D" w:rsidRDefault="00D743B0" w:rsidP="0009169D">
      <w:pPr>
        <w:pStyle w:val="ReferenceOrdered"/>
      </w:pPr>
      <w:r w:rsidRPr="0009169D">
        <w:t xml:space="preserve">Miller PD, Hattersley G, Riis BJ, et al. Effect of </w:t>
      </w:r>
      <w:proofErr w:type="spellStart"/>
      <w:r w:rsidRPr="0009169D">
        <w:t>Abalaoparatide</w:t>
      </w:r>
      <w:proofErr w:type="spellEnd"/>
      <w:r w:rsidRPr="0009169D">
        <w:t xml:space="preserve"> Vs Placebo on New Vertebral Fractures in Postmenopausal Women with Osteoporosis: A Randomized Clinical Trial. JAMA. 2016; 316 (7): 722:733.</w:t>
      </w:r>
    </w:p>
    <w:p w14:paraId="28ADF0AC" w14:textId="77777777" w:rsidR="00D743B0" w:rsidRPr="0009169D" w:rsidRDefault="00D743B0" w:rsidP="0009169D">
      <w:pPr>
        <w:pStyle w:val="ReferenceOrdered"/>
      </w:pPr>
      <w:r w:rsidRPr="0009169D">
        <w:lastRenderedPageBreak/>
        <w:t xml:space="preserve">Camacho PM, </w:t>
      </w:r>
      <w:proofErr w:type="spellStart"/>
      <w:r w:rsidRPr="0009169D">
        <w:t>Petak</w:t>
      </w:r>
      <w:proofErr w:type="spellEnd"/>
      <w:r w:rsidRPr="0009169D">
        <w:t xml:space="preserve"> SM, Binkley N, et al. American Association of Clinical Endocrinologists/American College of Endocrinology Clinical Practice Guidelines for the Diagnosis and Treatment of Postmenopausal Osteoporosis-2020 update. </w:t>
      </w:r>
      <w:proofErr w:type="spellStart"/>
      <w:r w:rsidRPr="0009169D">
        <w:t>Endocr</w:t>
      </w:r>
      <w:proofErr w:type="spellEnd"/>
      <w:r w:rsidRPr="0009169D">
        <w:t xml:space="preserve"> </w:t>
      </w:r>
      <w:proofErr w:type="spellStart"/>
      <w:r w:rsidRPr="0009169D">
        <w:t>Pract</w:t>
      </w:r>
      <w:proofErr w:type="spellEnd"/>
      <w:r w:rsidRPr="0009169D">
        <w:t>. 2020;26 (Suppl 1):1-46.</w:t>
      </w:r>
    </w:p>
    <w:p w14:paraId="33F6BAAC" w14:textId="54B5A24E" w:rsidR="00D743B0" w:rsidRPr="0009169D" w:rsidRDefault="00D743B0" w:rsidP="0009169D">
      <w:pPr>
        <w:pStyle w:val="ReferenceOrdered"/>
      </w:pPr>
      <w:r w:rsidRPr="0009169D">
        <w:t>FRAX® Fracture Risk Assessment Tool. © Centre for Metabolic Bone Diseases, University of Sheffield, UK. Available at: https://</w:t>
      </w:r>
      <w:r w:rsidR="00A2476D">
        <w:t>frax</w:t>
      </w:r>
      <w:r w:rsidRPr="0009169D">
        <w:t xml:space="preserve">.shef.ac.uk/FRAX. Accessed October </w:t>
      </w:r>
      <w:r w:rsidR="005B12B6">
        <w:t>12</w:t>
      </w:r>
      <w:r w:rsidRPr="0009169D">
        <w:t>, 202</w:t>
      </w:r>
      <w:r w:rsidR="005B12B6">
        <w:t>4</w:t>
      </w:r>
      <w:r w:rsidRPr="0009169D">
        <w:t>.</w:t>
      </w:r>
    </w:p>
    <w:p w14:paraId="6D4D52EF" w14:textId="77777777" w:rsidR="00D743B0" w:rsidRPr="0009169D" w:rsidRDefault="00D743B0" w:rsidP="0009169D">
      <w:pPr>
        <w:pStyle w:val="ReferenceOrdered"/>
      </w:pPr>
      <w:proofErr w:type="spellStart"/>
      <w:r w:rsidRPr="0009169D">
        <w:t>Ensrud</w:t>
      </w:r>
      <w:proofErr w:type="spellEnd"/>
      <w:r w:rsidRPr="0009169D">
        <w:t xml:space="preserve"> KE, Crandall CJ. Osteoporosis. Ann Intern Med. 2017;167(03): ITC17–ITC32.</w:t>
      </w:r>
    </w:p>
    <w:p w14:paraId="4A73970E" w14:textId="77777777" w:rsidR="00D743B0" w:rsidRPr="0009169D" w:rsidRDefault="00D743B0" w:rsidP="0009169D">
      <w:pPr>
        <w:pStyle w:val="ReferenceOrdered"/>
      </w:pPr>
      <w:proofErr w:type="spellStart"/>
      <w:r w:rsidRPr="0009169D">
        <w:t>Shoback</w:t>
      </w:r>
      <w:proofErr w:type="spellEnd"/>
      <w:r w:rsidRPr="0009169D">
        <w:t xml:space="preserve"> D, Rosen CJ, Black DM, et al. Pharmacological Management of Osteoporosis in Postmenopausal Women: An Endocrine Society Clinical Practice Guideline. J Clin Endocrinol </w:t>
      </w:r>
      <w:proofErr w:type="spellStart"/>
      <w:r w:rsidRPr="0009169D">
        <w:t>Metab</w:t>
      </w:r>
      <w:proofErr w:type="spellEnd"/>
      <w:r w:rsidRPr="0009169D">
        <w:t>. 2020;105(3):587-594.</w:t>
      </w:r>
    </w:p>
    <w:p w14:paraId="1CB843E9" w14:textId="77777777" w:rsidR="00D743B0" w:rsidRPr="0009169D" w:rsidRDefault="00D743B0" w:rsidP="0009169D">
      <w:pPr>
        <w:pStyle w:val="ReferenceOrdered"/>
      </w:pPr>
      <w:r w:rsidRPr="0009169D">
        <w:t>Carey JJ. What is a ‘failure’ of bisphosphonate therapy for osteoporosis? Cleve Clin J of Med. 2005;72(11):1033-1039.</w:t>
      </w:r>
    </w:p>
    <w:p w14:paraId="26E25A0F" w14:textId="6411F3C5" w:rsidR="00FF66BF" w:rsidRDefault="00D743B0" w:rsidP="0009169D">
      <w:pPr>
        <w:pStyle w:val="ReferenceOrdered"/>
      </w:pPr>
      <w:r w:rsidRPr="0009169D">
        <w:t xml:space="preserve">Watts NB, Adler RA, </w:t>
      </w:r>
      <w:proofErr w:type="spellStart"/>
      <w:r w:rsidRPr="0009169D">
        <w:t>Bilezikian</w:t>
      </w:r>
      <w:proofErr w:type="spellEnd"/>
      <w:r w:rsidRPr="0009169D">
        <w:t xml:space="preserve"> JP, et al. Osteoporosis in men: an Endocrine Society clinical practice guideline. J Clin </w:t>
      </w:r>
      <w:proofErr w:type="spellStart"/>
      <w:r w:rsidRPr="0009169D">
        <w:t>Endocr</w:t>
      </w:r>
      <w:proofErr w:type="spellEnd"/>
      <w:r w:rsidRPr="0009169D">
        <w:t xml:space="preserve"> </w:t>
      </w:r>
      <w:proofErr w:type="spellStart"/>
      <w:r w:rsidRPr="0009169D">
        <w:t>Metab</w:t>
      </w:r>
      <w:proofErr w:type="spellEnd"/>
      <w:r w:rsidRPr="0009169D">
        <w:t>. 2012;97(6):1802-1822.</w:t>
      </w:r>
    </w:p>
    <w:sectPr w:rsidR="00FF66BF" w:rsidSect="00784043">
      <w:headerReference w:type="first" r:id="rId15"/>
      <w:footerReference w:type="first" r:id="rId16"/>
      <w:type w:val="continuous"/>
      <w:pgSz w:w="12240" w:h="15840" w:code="1"/>
      <w:pgMar w:top="900" w:right="720" w:bottom="990" w:left="720" w:header="720" w:footer="321"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21F72" w14:textId="77777777" w:rsidR="006B2E91" w:rsidRDefault="006B2E91">
      <w:r>
        <w:separator/>
      </w:r>
    </w:p>
  </w:endnote>
  <w:endnote w:type="continuationSeparator" w:id="0">
    <w:p w14:paraId="30236439" w14:textId="77777777" w:rsidR="006B2E91" w:rsidRDefault="006B2E91">
      <w:r>
        <w:continuationSeparator/>
      </w:r>
    </w:p>
  </w:endnote>
  <w:endnote w:type="continuationNotice" w:id="1">
    <w:p w14:paraId="255CFB8E" w14:textId="77777777" w:rsidR="006B2E91" w:rsidRDefault="006B2E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EDE946F"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84043" w:rsidRPr="00784043">
      <w:rPr>
        <w:rFonts w:cs="Arial"/>
        <w:noProof/>
        <w:sz w:val="16"/>
        <w:szCs w:val="16"/>
      </w:rPr>
      <w:t>Tymlos</w:t>
    </w:r>
    <w:r w:rsidR="00784043">
      <w:rPr>
        <w:rFonts w:cs="Arial"/>
        <w:noProof/>
        <w:snapToGrid w:val="0"/>
        <w:color w:val="000000"/>
        <w:sz w:val="16"/>
        <w:szCs w:val="16"/>
      </w:rPr>
      <w:t xml:space="preserve"> SGM 1826-A</w:t>
    </w:r>
    <w:r w:rsidR="00784043" w:rsidRPr="00784043">
      <w:rPr>
        <w:rFonts w:cs="Arial"/>
        <w:noProof/>
        <w:sz w:val="16"/>
        <w:szCs w:val="16"/>
      </w:rPr>
      <w:t xml:space="preserve"> P2024</w:t>
    </w:r>
    <w:r w:rsidR="0078404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76BE52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w:t>
    </w:r>
    <w:proofErr w:type="gramStart"/>
    <w:r w:rsidRPr="00EC47B6">
      <w:rPr>
        <w:rFonts w:cs="Arial"/>
        <w:snapToGrid w:val="0"/>
        <w:sz w:val="16"/>
        <w:szCs w:val="16"/>
      </w:rPr>
      <w:t>distributed</w:t>
    </w:r>
    <w:proofErr w:type="gramEnd"/>
    <w:r w:rsidRPr="00EC47B6">
      <w:rPr>
        <w:rFonts w:cs="Arial"/>
        <w:snapToGrid w:val="0"/>
        <w:sz w:val="16"/>
        <w:szCs w:val="16"/>
      </w:rPr>
      <w:t xml:space="preserve">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8309B00" w:rsidR="00F75C81" w:rsidRPr="00AD6C26" w:rsidRDefault="00C36B72" w:rsidP="00AD6C26">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6B125D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67CFD">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84043" w:rsidRPr="00784043">
      <w:rPr>
        <w:rFonts w:cs="Arial"/>
        <w:noProof/>
        <w:sz w:val="16"/>
        <w:szCs w:val="16"/>
      </w:rPr>
      <w:t>Tymlos</w:t>
    </w:r>
    <w:r w:rsidR="00784043">
      <w:rPr>
        <w:rFonts w:cs="Arial"/>
        <w:noProof/>
        <w:snapToGrid w:val="0"/>
        <w:color w:val="000000"/>
        <w:sz w:val="16"/>
        <w:szCs w:val="16"/>
      </w:rPr>
      <w:t xml:space="preserve"> SGM 1826-A </w:t>
    </w:r>
    <w:r w:rsidR="00784043" w:rsidRPr="00784043">
      <w:rPr>
        <w:rFonts w:cs="Arial"/>
        <w:noProof/>
        <w:sz w:val="16"/>
        <w:szCs w:val="16"/>
      </w:rPr>
      <w:t>P2024_R.docx</w:t>
    </w:r>
    <w:r w:rsidRPr="00EC47B6">
      <w:rPr>
        <w:rFonts w:cs="Arial"/>
        <w:noProof/>
        <w:sz w:val="16"/>
        <w:szCs w:val="16"/>
      </w:rPr>
      <w:fldChar w:fldCharType="end"/>
    </w:r>
    <w:r w:rsidRPr="00167CFD">
      <w:rPr>
        <w:rFonts w:cs="Arial"/>
        <w:snapToGrid w:val="0"/>
        <w:color w:val="000000"/>
        <w:sz w:val="16"/>
      </w:rPr>
      <w:tab/>
      <w:t>© 202</w:t>
    </w:r>
    <w:r w:rsidR="00D74279" w:rsidRPr="00167CFD">
      <w:rPr>
        <w:rFonts w:cs="Arial"/>
        <w:snapToGrid w:val="0"/>
        <w:color w:val="000000"/>
        <w:sz w:val="16"/>
      </w:rPr>
      <w:t>4</w:t>
    </w:r>
    <w:r w:rsidRPr="00167CFD">
      <w:rPr>
        <w:rFonts w:cs="Arial"/>
        <w:snapToGrid w:val="0"/>
        <w:color w:val="000000"/>
        <w:sz w:val="16"/>
      </w:rPr>
      <w:t xml:space="preserve"> CVS Caremark. </w:t>
    </w:r>
    <w:r w:rsidRPr="00EC47B6">
      <w:rPr>
        <w:rFonts w:cs="Arial"/>
        <w:snapToGrid w:val="0"/>
        <w:color w:val="000000"/>
        <w:sz w:val="16"/>
      </w:rPr>
      <w:t>All rights reserved.</w:t>
    </w:r>
  </w:p>
  <w:p w14:paraId="39BFE579" w14:textId="7F12985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w:t>
    </w:r>
    <w:proofErr w:type="gramStart"/>
    <w:r w:rsidRPr="00EC47B6">
      <w:rPr>
        <w:rFonts w:cs="Arial"/>
        <w:snapToGrid w:val="0"/>
        <w:sz w:val="16"/>
        <w:szCs w:val="16"/>
      </w:rPr>
      <w:t>distributed</w:t>
    </w:r>
    <w:proofErr w:type="gramEnd"/>
    <w:r w:rsidRPr="00EC47B6">
      <w:rPr>
        <w:rFonts w:cs="Arial"/>
        <w:snapToGrid w:val="0"/>
        <w:sz w:val="16"/>
        <w:szCs w:val="16"/>
      </w:rPr>
      <w:t xml:space="preserve">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D0F8C25" w:rsidR="00ED04EC" w:rsidRPr="00F50D98" w:rsidRDefault="00F50D98" w:rsidP="00A0082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24FB7" w14:textId="0FE8DE8B" w:rsidR="00930CBC" w:rsidRPr="00F50D98" w:rsidRDefault="00930CBC"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EBECC" w14:textId="77777777" w:rsidR="006B2E91" w:rsidRDefault="006B2E91">
      <w:r>
        <w:separator/>
      </w:r>
    </w:p>
  </w:footnote>
  <w:footnote w:type="continuationSeparator" w:id="0">
    <w:p w14:paraId="57A3EFBF" w14:textId="77777777" w:rsidR="006B2E91" w:rsidRDefault="006B2E91">
      <w:r>
        <w:continuationSeparator/>
      </w:r>
    </w:p>
  </w:footnote>
  <w:footnote w:type="continuationNotice" w:id="1">
    <w:p w14:paraId="4A881042" w14:textId="77777777" w:rsidR="006B2E91" w:rsidRDefault="006B2E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167CFD" w:rsidRDefault="00ED04EC" w:rsidP="00ED04EC">
          <w:pPr>
            <w:pStyle w:val="Header"/>
            <w:rPr>
              <w:rFonts w:cs="Arial"/>
              <w:sz w:val="16"/>
              <w:szCs w:val="16"/>
            </w:rPr>
          </w:pPr>
          <w:r w:rsidRPr="00167CFD">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29D47799" w:rsidR="00ED04EC" w:rsidRPr="00167CFD" w:rsidRDefault="00691DBB" w:rsidP="00ED04EC">
          <w:pPr>
            <w:pStyle w:val="Header"/>
            <w:rPr>
              <w:rFonts w:cs="Arial"/>
              <w:sz w:val="16"/>
              <w:szCs w:val="16"/>
            </w:rPr>
          </w:pPr>
          <w:r w:rsidRPr="00167CFD">
            <w:rPr>
              <w:rFonts w:cs="Arial"/>
              <w:sz w:val="16"/>
              <w:szCs w:val="16"/>
            </w:rPr>
            <w:t>1826-A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537D0" w14:paraId="1400E021" w14:textId="77777777" w:rsidTr="000537D0">
      <w:trPr>
        <w:trHeight w:val="144"/>
        <w:jc w:val="right"/>
      </w:trPr>
      <w:tc>
        <w:tcPr>
          <w:tcW w:w="1854" w:type="dxa"/>
          <w:tcBorders>
            <w:top w:val="single" w:sz="4" w:space="0" w:color="auto"/>
            <w:left w:val="single" w:sz="4" w:space="0" w:color="auto"/>
            <w:bottom w:val="single" w:sz="4" w:space="0" w:color="auto"/>
            <w:right w:val="single" w:sz="4" w:space="0" w:color="auto"/>
          </w:tcBorders>
          <w:hideMark/>
        </w:tcPr>
        <w:p w14:paraId="52B8BB93" w14:textId="77777777" w:rsidR="000537D0" w:rsidRPr="00167CFD" w:rsidRDefault="000537D0" w:rsidP="000537D0">
          <w:pPr>
            <w:pStyle w:val="Header"/>
            <w:rPr>
              <w:rFonts w:cs="Arial"/>
              <w:sz w:val="16"/>
              <w:szCs w:val="16"/>
            </w:rPr>
          </w:pPr>
          <w:r w:rsidRPr="00167CFD">
            <w:rPr>
              <w:rFonts w:cs="Arial"/>
              <w:sz w:val="16"/>
              <w:szCs w:val="16"/>
            </w:rPr>
            <w:t>Reference number(s)</w:t>
          </w:r>
        </w:p>
      </w:tc>
    </w:tr>
    <w:tr w:rsidR="000537D0" w14:paraId="0AC78461" w14:textId="77777777" w:rsidTr="000537D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00A310C8" w14:textId="77777777" w:rsidR="000537D0" w:rsidRPr="00167CFD" w:rsidRDefault="000537D0" w:rsidP="000537D0">
          <w:pPr>
            <w:pStyle w:val="Header"/>
            <w:rPr>
              <w:rFonts w:cs="Arial"/>
              <w:sz w:val="16"/>
              <w:szCs w:val="16"/>
            </w:rPr>
          </w:pPr>
          <w:r w:rsidRPr="00167CFD">
            <w:rPr>
              <w:rFonts w:cs="Arial"/>
              <w:sz w:val="16"/>
              <w:szCs w:val="16"/>
            </w:rPr>
            <w:t>1826-A</w:t>
          </w:r>
        </w:p>
      </w:tc>
    </w:tr>
  </w:tbl>
  <w:p w14:paraId="232E27CD" w14:textId="77777777" w:rsidR="000537D0" w:rsidRDefault="000537D0" w:rsidP="000537D0">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DB52B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D864AF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DA87DC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C8E750C"/>
    <w:multiLevelType w:val="hybridMultilevel"/>
    <w:tmpl w:val="D32846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3B2E4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8"/>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0"/>
  </w:num>
  <w:num w:numId="17" w16cid:durableId="2128498676">
    <w:abstractNumId w:val="30"/>
  </w:num>
  <w:num w:numId="18" w16cid:durableId="299724409">
    <w:abstractNumId w:val="25"/>
  </w:num>
  <w:num w:numId="19" w16cid:durableId="214585573">
    <w:abstractNumId w:val="14"/>
  </w:num>
  <w:num w:numId="20" w16cid:durableId="1289816170">
    <w:abstractNumId w:val="17"/>
  </w:num>
  <w:num w:numId="21" w16cid:durableId="1066490929">
    <w:abstractNumId w:val="31"/>
  </w:num>
  <w:num w:numId="22" w16cid:durableId="1472481103">
    <w:abstractNumId w:val="27"/>
  </w:num>
  <w:num w:numId="23" w16cid:durableId="1997420403">
    <w:abstractNumId w:val="29"/>
  </w:num>
  <w:num w:numId="24" w16cid:durableId="33312838">
    <w:abstractNumId w:val="26"/>
  </w:num>
  <w:num w:numId="25" w16cid:durableId="507404939">
    <w:abstractNumId w:val="19"/>
  </w:num>
  <w:num w:numId="26" w16cid:durableId="1950313333">
    <w:abstractNumId w:val="23"/>
  </w:num>
  <w:num w:numId="27" w16cid:durableId="1866016584">
    <w:abstractNumId w:val="21"/>
  </w:num>
  <w:num w:numId="28" w16cid:durableId="171072696">
    <w:abstractNumId w:val="22"/>
  </w:num>
  <w:num w:numId="29" w16cid:durableId="298849657">
    <w:abstractNumId w:val="15"/>
  </w:num>
  <w:num w:numId="30" w16cid:durableId="1928416135">
    <w:abstractNumId w:val="11"/>
  </w:num>
  <w:num w:numId="31" w16cid:durableId="1102872126">
    <w:abstractNumId w:val="16"/>
  </w:num>
  <w:num w:numId="32" w16cid:durableId="605387249">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36"/>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6DD8"/>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0A7"/>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02E1"/>
    <w:rsid w:val="0004226E"/>
    <w:rsid w:val="000425B0"/>
    <w:rsid w:val="00043056"/>
    <w:rsid w:val="0004480D"/>
    <w:rsid w:val="000466CC"/>
    <w:rsid w:val="00046912"/>
    <w:rsid w:val="00046BD3"/>
    <w:rsid w:val="00046C3C"/>
    <w:rsid w:val="0004753B"/>
    <w:rsid w:val="00047680"/>
    <w:rsid w:val="00047C5A"/>
    <w:rsid w:val="00050B10"/>
    <w:rsid w:val="00051356"/>
    <w:rsid w:val="00051699"/>
    <w:rsid w:val="000517FF"/>
    <w:rsid w:val="0005206D"/>
    <w:rsid w:val="00052989"/>
    <w:rsid w:val="000537D0"/>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65B"/>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69D"/>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57C16"/>
    <w:rsid w:val="00160472"/>
    <w:rsid w:val="00162951"/>
    <w:rsid w:val="001630B4"/>
    <w:rsid w:val="00165258"/>
    <w:rsid w:val="00165670"/>
    <w:rsid w:val="00165A99"/>
    <w:rsid w:val="001675AA"/>
    <w:rsid w:val="00167CFD"/>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826"/>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87C42"/>
    <w:rsid w:val="00290525"/>
    <w:rsid w:val="00290713"/>
    <w:rsid w:val="0029078F"/>
    <w:rsid w:val="00290C26"/>
    <w:rsid w:val="00290F61"/>
    <w:rsid w:val="0029112F"/>
    <w:rsid w:val="0029237C"/>
    <w:rsid w:val="002924BA"/>
    <w:rsid w:val="00292E08"/>
    <w:rsid w:val="00293003"/>
    <w:rsid w:val="00293574"/>
    <w:rsid w:val="00293EF2"/>
    <w:rsid w:val="00294324"/>
    <w:rsid w:val="002946D4"/>
    <w:rsid w:val="002947C0"/>
    <w:rsid w:val="002965CE"/>
    <w:rsid w:val="00296EC3"/>
    <w:rsid w:val="00297405"/>
    <w:rsid w:val="002A02BE"/>
    <w:rsid w:val="002A0A3B"/>
    <w:rsid w:val="002A0DB7"/>
    <w:rsid w:val="002A0F12"/>
    <w:rsid w:val="002A1602"/>
    <w:rsid w:val="002A1A1C"/>
    <w:rsid w:val="002A2109"/>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0E5E"/>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4072"/>
    <w:rsid w:val="003353FF"/>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4861"/>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547"/>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4892"/>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25C2"/>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055"/>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CEF"/>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0E27"/>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2B6"/>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3D8"/>
    <w:rsid w:val="005E0BD2"/>
    <w:rsid w:val="005E1266"/>
    <w:rsid w:val="005E3C25"/>
    <w:rsid w:val="005E4938"/>
    <w:rsid w:val="005E521B"/>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6EB"/>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054B"/>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1DBB"/>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2E91"/>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B1B"/>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147"/>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4043"/>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1CDF"/>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415"/>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5E9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226"/>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CBC"/>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29"/>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082C"/>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476D"/>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6C26"/>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1B5B"/>
    <w:rsid w:val="00B42A6D"/>
    <w:rsid w:val="00B42F63"/>
    <w:rsid w:val="00B43D43"/>
    <w:rsid w:val="00B461DF"/>
    <w:rsid w:val="00B4644D"/>
    <w:rsid w:val="00B465F0"/>
    <w:rsid w:val="00B46E48"/>
    <w:rsid w:val="00B47162"/>
    <w:rsid w:val="00B47A98"/>
    <w:rsid w:val="00B47CBA"/>
    <w:rsid w:val="00B50D1C"/>
    <w:rsid w:val="00B51040"/>
    <w:rsid w:val="00B513CC"/>
    <w:rsid w:val="00B51564"/>
    <w:rsid w:val="00B51582"/>
    <w:rsid w:val="00B5186D"/>
    <w:rsid w:val="00B52199"/>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5197"/>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390"/>
    <w:rsid w:val="00C01BFA"/>
    <w:rsid w:val="00C01C2E"/>
    <w:rsid w:val="00C024FD"/>
    <w:rsid w:val="00C02901"/>
    <w:rsid w:val="00C02F81"/>
    <w:rsid w:val="00C04410"/>
    <w:rsid w:val="00C04991"/>
    <w:rsid w:val="00C04C79"/>
    <w:rsid w:val="00C05AC4"/>
    <w:rsid w:val="00C06283"/>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5E78"/>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3B0"/>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45F2"/>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1C"/>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0D9A"/>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09B"/>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DA2"/>
    <w:rsid w:val="00F17E4B"/>
    <w:rsid w:val="00F20128"/>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1C5F"/>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32B"/>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30CBC"/>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customStyle="1" w:styleId="ui-provider">
    <w:name w:val="ui-provider"/>
    <w:basedOn w:val="DefaultParagraphFont"/>
    <w:rsid w:val="003E6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053">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12549258">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0873669">
      <w:bodyDiv w:val="1"/>
      <w:marLeft w:val="0"/>
      <w:marRight w:val="0"/>
      <w:marTop w:val="0"/>
      <w:marBottom w:val="0"/>
      <w:divBdr>
        <w:top w:val="none" w:sz="0" w:space="0" w:color="auto"/>
        <w:left w:val="none" w:sz="0" w:space="0" w:color="auto"/>
        <w:bottom w:val="none" w:sz="0" w:space="0" w:color="auto"/>
        <w:right w:val="none" w:sz="0" w:space="0" w:color="auto"/>
      </w:divBdr>
    </w:div>
    <w:div w:id="425611312">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62793011">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2210614">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95A2DEC0-71A7-46D5-9655-DB47DC80F5C2}"/>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899</Words>
  <Characters>5496</Characters>
  <Application>Microsoft Office Word</Application>
  <DocSecurity>0</DocSecurity>
  <Lines>122</Lines>
  <Paragraphs>96</Paragraphs>
  <ScaleCrop>false</ScaleCrop>
  <HeadingPairs>
    <vt:vector size="2" baseType="variant">
      <vt:variant>
        <vt:lpstr>Title</vt:lpstr>
      </vt:variant>
      <vt:variant>
        <vt:i4>1</vt:i4>
      </vt:variant>
    </vt:vector>
  </HeadingPairs>
  <TitlesOfParts>
    <vt:vector size="1" baseType="lpstr">
      <vt:lpstr>Tymlos SGM 1826-A</vt:lpstr>
    </vt:vector>
  </TitlesOfParts>
  <Company>CVS Caremark</Company>
  <LinksUpToDate>false</LinksUpToDate>
  <CharactersWithSpaces>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Tymlos SGM 1826-A</dc:title>
  <dc:subject>Tymlos SGM 1826-A</dc:subject>
  <dc:creator>CVS Caremark</dc:creator>
  <cp:keywords/>
  <cp:lastModifiedBy>Reynoso, Victor H</cp:lastModifiedBy>
  <cp:revision>3</cp:revision>
  <cp:lastPrinted>2018-01-09T05:01:00Z</cp:lastPrinted>
  <dcterms:created xsi:type="dcterms:W3CDTF">2025-03-14T21:53:00Z</dcterms:created>
  <dcterms:modified xsi:type="dcterms:W3CDTF">2025-03-14T21:54:00Z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1043600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